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Танзания для любителей приключений </w:t>
      </w:r>
      <w:bookmarkEnd w:id="0"/>
    </w:p>
    <w:p/>
    <w:p>
      <w:pPr>
        <w:pStyle w:val="pStyle"/>
      </w:pPr>
      <w:r>
        <w:rPr>
          <w:b w:val="1"/>
          <w:bCs w:val="1"/>
        </w:rPr>
        <w:t xml:space="preserve">Даты тура: </w:t>
      </w:r>
      <w:r>
        <w:rPr/>
        <w:t xml:space="preserve">до 15.12.2026</w:t>
      </w:r>
    </w:p>
    <w:p>
      <w:pPr>
        <w:pStyle w:val="pStyle"/>
      </w:pPr>
      <w:r>
        <w:rPr>
          <w:b w:val="1"/>
          <w:bCs w:val="1"/>
        </w:rPr>
        <w:t xml:space="preserve">Страна: </w:t>
      </w:r>
      <w:r>
        <w:rPr/>
        <w:t xml:space="preserve">Танзания</w:t>
      </w:r>
    </w:p>
    <w:p>
      <w:pPr>
        <w:pStyle w:val="pStyle"/>
      </w:pPr>
      <w:r>
        <w:rPr>
          <w:b w:val="1"/>
          <w:bCs w:val="1"/>
        </w:rPr>
        <w:t xml:space="preserve">Маршрут: </w:t>
      </w:r>
      <w:r>
        <w:rPr/>
        <w:t xml:space="preserve">озеро Маньяра – Серенгети – Нгоронгоро – озеро Натрон</w:t>
      </w:r>
    </w:p>
    <w:p>
      <w:pPr>
        <w:pStyle w:val="pStyle"/>
      </w:pPr>
      <w:r>
        <w:rPr>
          <w:b w:val="1"/>
          <w:bCs w:val="1"/>
        </w:rPr>
        <w:t xml:space="preserve">Стоимость тура: </w:t>
      </w:r>
      <w:r>
        <w:rPr/>
        <w:t xml:space="preserve">от 6440 $</w:t>
      </w:r>
    </w:p>
    <w:p/>
    <w:p>
      <w:pPr>
        <w:jc w:val="center"/>
      </w:pPr>
      <w:r>
        <w:pict>
          <v:shape type="#_x0000_t75" stroked="f" style="width:450pt; height:300.7653061224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/>
    <w:p>
      <w:pPr>
        <w:jc w:val="center"/>
      </w:pPr>
      <w:r>
        <w:pict>
          <v:shape type="#_x0000_t75" stroked="f" style="width:450pt; height:300.27272727273pt; margin-left:0pt; margin-top:0pt; mso-position-horizontal:left; mso-position-vertical:top; mso-position-horizontal-relative:char; mso-position-vertical-relative:line;">
            <w10:wrap type="inline"/>
            <v:imagedata r:id="rId8" o:title=""/>
          </v:shape>
        </w:pict>
      </w:r>
    </w:p>
    <w:p/>
    <w:p>
      <w:pPr>
        <w:pStyle w:val="Heading2"/>
      </w:pPr>
      <w:bookmarkStart w:id="1" w:name="_Toc1"/>
      <w:r>
        <w:t>Описание тура</w:t>
      </w:r>
      <w:bookmarkEnd w:id="1"/>
    </w:p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1: Прилет в Килиманджаро. Переезд на озеро Маньяра. Вечернее сафари.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Прилет в Килиманджаро (утром).</w:t>
            </w:r>
          </w:p>
          <w:p>
            <w:pPr>
              <w:spacing w:after="100"/>
            </w:pPr>
            <w:r>
              <w:rPr/>
              <w:t xml:space="preserve">Переезд на озеро Маньяра (около 4 часов / указанное время является ориентировочным / в зависимости от транспортной загруженности и состояния дороги в конкретный день время в пути может быть увеличено).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61.50014771049pt; margin-left:0pt; margin-top:113.38582677165pt; mso-position-horizontal:left; mso-position-vertical:top; mso-position-horizontal-relative:char; mso-position-vertical-relative:line;">
                  <w10:wrap type="inline"/>
                  <v:imagedata r:id="rId9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Размещение в лодже. Обед.</w:t>
            </w:r>
          </w:p>
          <w:p>
            <w:pPr>
              <w:spacing w:after="100"/>
            </w:pPr>
            <w:r>
              <w:rPr/>
              <w:t xml:space="preserve">Вечернее сафари на озере Маньяра, главной достопримечательностью которого являются львы, лазающие по веткам акаций, а также озеро с фламинго.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Lake Manyara Serena Hotel, Standard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Полный 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2: Переезд в Серенгети. Вечернее сафари.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Завтрак.</w:t>
            </w:r>
          </w:p>
          <w:p>
            <w:pPr>
              <w:spacing w:after="100"/>
            </w:pPr>
            <w:r>
              <w:rPr/>
              <w:t xml:space="preserve">Переезд в национальный парк Серенгети (около 5 часов / указанное время является ориентировочным / в зависимости от транспортной загруженности и состояния дороги в конкретный день время в пути может быть увеличено), единственное место на Земном шаре, где так велика концентрация и численность диких животных (более миллиона крупных млекопитающих).</w:t>
            </w:r>
          </w:p>
          <w:p>
            <w:pPr>
              <w:spacing w:after="100"/>
            </w:pPr>
            <w:r>
              <w:rPr/>
              <w:t xml:space="preserve">Здесь можно увидеть «Большую Пятерку» в полном составе.</w:t>
            </w:r>
          </w:p>
          <w:p>
            <w:pPr>
              <w:spacing w:after="100"/>
            </w:pPr>
            <w:r>
              <w:rPr/>
              <w:t xml:space="preserve">Размещение в лодже. Обед. Вечернее сафари.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Serengeti Serena Lodge, Standard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Полный 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3: Сафари в Серенгети.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Целый день сафари в Национальном Парке Серенгети: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81.5pt; margin-left:0pt; margin-top:113.38582677165pt; mso-position-horizontal:left; mso-position-vertical:top; mso-position-horizontal-relative:char; mso-position-vertical-relative:line;">
                  <w10:wrap type="inline"/>
                  <v:imagedata r:id="rId10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Ранний подъем. Закуски + чай/кофе в лобби лоджа. Утреннее сафари. Завтрак в лодже. Свободное время для отдыха. Обед. Вечернее сафари.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Serengeti Serena Lodge, Standard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Полный 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4: Переезд в Нгоронгоро. Свободное время для отдыха.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Завтрак.</w:t>
            </w:r>
          </w:p>
          <w:p>
            <w:pPr>
              <w:spacing w:after="100"/>
            </w:pPr>
            <w:r>
              <w:rPr/>
              <w:t xml:space="preserve">Переезд в заповедник Нгоронгоро (около 4 часов / указанное время является ориентировочным / в зависимости от транспортной загруженности и состояния дороги в конкретный день время в пути может быть увеличено), расположившийся в кратере потухшего вулкана.</w:t>
            </w:r>
          </w:p>
          <w:p>
            <w:pPr>
              <w:spacing w:after="100"/>
            </w:pPr>
            <w:r>
              <w:rPr/>
              <w:t xml:space="preserve">Размещение в лодже. Обед. Свободное время для отдыха. Ужин.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Ngorongoro Serena Lodge, Standard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Полный 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5: Сафари в кратере вулкана Нгоронгоро.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Завтрак. Выезд на сафари в кратер, где на относительно небольшой территории обитают все африканские животные.</w:t>
            </w:r>
          </w:p>
          <w:p>
            <w:pPr>
              <w:spacing w:after="100"/>
            </w:pPr>
            <w:r>
              <w:rPr/>
              <w:t xml:space="preserve">Обед – ланч-бокс на берегу живописного озера, в котором обитают бегемоты.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81.5pt; margin-left:0pt; margin-top:113.38582677165pt; mso-position-horizontal:left; mso-position-vertical:top; mso-position-horizontal-relative:char; mso-position-vertical-relative:line;">
                  <w10:wrap type="inline"/>
                  <v:imagedata r:id="rId11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Заповедник Нгоронгоро, расположившийся в кратере потухшего вулкана на высоте 2286 метров над уровнем моря, — это самая крупная полностью сохранившаяся кальдера в мире. Окруженная со всех сторон стенами (610 м высотой), долина площадью 260 км2, как Ноев ковчег стала домом для множества африканских животных.</w:t>
            </w:r>
          </w:p>
          <w:p>
            <w:pPr>
              <w:spacing w:after="100"/>
            </w:pPr>
            <w:r>
              <w:rPr/>
              <w:t xml:space="preserve">Возвращение в лодж во второй половине дня.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Ngorongoro Serena Lodge, Standard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Полный 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6: Переезд на озеро Натрон. Посещение деревни племени Масаи.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Завтрак.</w:t>
            </w:r>
          </w:p>
          <w:p>
            <w:pPr>
              <w:spacing w:after="100"/>
            </w:pPr>
            <w:r>
              <w:rPr/>
              <w:t xml:space="preserve">Переезд на озеро Натрон (около 4 часов / указанное время является ориентировочным / в зависимости от транспортной загруженности и состояния дороги в конкретный день время в пути может быть увеличено).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61.75789473684pt; margin-left:0pt; margin-top:113.38582677165pt; mso-position-horizontal:left; mso-position-vertical:top; mso-position-horizontal-relative:char; mso-position-vertical-relative:line;">
                  <w10:wrap type="inline"/>
                  <v:imagedata r:id="rId12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Озеро Натрон расположено у подножия единственного действующего вулкана Африки – Ол Доньо Ленгаи, между нагорьями Нгоронгоро и равнинами Серенгети в засушливой и пустынной местности нетронутой цивилизацией. Озеро Натрон является одним из самых щелочных озер в мире и местом обитания миллионов крошечных ракообразных, что привлекает сюда тысячи фламинго со всех окрестностей.</w:t>
            </w:r>
          </w:p>
          <w:p>
            <w:pPr>
              <w:spacing w:after="100"/>
            </w:pPr>
            <w:r>
              <w:rPr/>
              <w:t xml:space="preserve">Размещение в кемпе. Обед. Посещение деревни племени Масаи.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Lake Natron Camp, Standard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Полный 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7: Пешее сафари для наблюдения за фламинго. Трекинг к водопадам. Трекинг на вулкан Ол Доньо Ленгаи.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Раннее отправление на пешее сафари для наблюдения за фламинго. Возвращение в кемп на завтрак.</w:t>
            </w:r>
          </w:p>
          <w:p>
            <w:pPr>
              <w:spacing w:after="100"/>
            </w:pPr>
            <w:r>
              <w:rPr/>
              <w:t xml:space="preserve">Пешее сафари к водопадам.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81.5pt; margin-left:0pt; margin-top:113.38582677165pt; mso-position-horizontal:left; mso-position-vertical:top; mso-position-horizontal-relative:char; mso-position-vertical-relative:line;">
                  <w10:wrap type="inline"/>
                  <v:imagedata r:id="rId13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Возвращение на обед в кемп. Свободное время для отдыха. Ужин.</w:t>
            </w:r>
          </w:p>
          <w:p>
            <w:pPr>
              <w:spacing w:after="100"/>
            </w:pPr>
            <w:r>
              <w:rPr/>
              <w:t xml:space="preserve">Трекинг на вулкан Ол Доньо Ленгаи под африканским звездным небом.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Lake Natron Camp, Standard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Полный 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8: Трансфер в аэропорт Килиманджаро.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Завтрак.</w:t>
            </w:r>
          </w:p>
          <w:p>
            <w:pPr>
              <w:spacing w:after="100"/>
            </w:pPr>
            <w:r>
              <w:rPr/>
              <w:t xml:space="preserve">Трансфер в аэропорт Килиманджаро (около 6 часов / указанное время является ориентировочным / в зависимости от транспортной загруженности и состояния дороги в конкретный день время в пути может быть увеличено) для вылета.</w:t>
            </w:r>
          </w:p>
        </w:tc>
      </w:tr>
    </w:tbl>
    <w:p/>
    <w:p>
      <w:pPr>
        <w:pStyle w:val="Heading2"/>
      </w:pPr>
      <w:bookmarkStart w:id="2" w:name="_Toc2"/>
      <w:r>
        <w:t>Цены тура «Танзания для любителей приключений »</w:t>
      </w:r>
      <w:bookmarkEnd w:id="2"/>
    </w:p>
    <w:p>
      <w:pPr/>
      <w:r>
        <w:rPr>
          <w:b w:val="1"/>
          <w:bCs w:val="1"/>
        </w:rPr>
        <w:t xml:space="preserve">Стоимость тура за одного человека</w:t>
      </w:r>
    </w:p>
    <w:p/>
    <w:tbl>
      <w:tblGrid>
        <w:gridCol w:w="5102.3622047244089117157272994518280029296875" w:type="dxa"/>
        <w:gridCol w:w="1984.2519685039369505830109119415283203125" w:type="dxa"/>
        <w:gridCol w:w="1984.2519685039369505830109119415283203125" w:type="dxa"/>
      </w:tblGrid>
      <w:tblPr>
        <w:tblStyle w:val="PriceTable"/>
      </w:tblPr>
      <w:tr>
        <w:trPr/>
        <w:tc>
          <w:tcPr>
            <w:tcW w:w="5102.3622047244089117157272994518280029296875" w:type="dxa"/>
            <w:noWrap/>
          </w:tcPr>
          <w:p>
            <w:pPr/>
            <w:r>
              <w:rPr>
                <w:b w:val="1"/>
                <w:bCs w:val="1"/>
              </w:rPr>
              <w:t xml:space="preserve">Наименование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SNGL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DBL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Стоимость тура за 1 человека при группе 2 человека: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7 610 $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6 440 $</w:t>
            </w:r>
          </w:p>
        </w:tc>
      </w:tr>
    </w:tbl>
    <w:p>
      <w:pPr>
        <w:pStyle w:val="Heading3"/>
      </w:pPr>
      <w:bookmarkStart w:id="3" w:name="_Toc3"/>
      <w:r>
        <w:t>В стоимость тура включено:</w:t>
      </w:r>
      <w:bookmarkEnd w:id="3"/>
    </w:p>
    <w:p>
      <w:pPr>
        <w:pStyle w:val="listTight"/>
        <w:numPr>
          <w:ilvl w:val="0"/>
          <w:numId w:val="10"/>
        </w:numPr>
      </w:pPr>
      <w:r>
        <w:rPr/>
        <w:t xml:space="preserve">Проживание и питание по программе    </w:t>
      </w:r>
    </w:p>
    <w:p>
      <w:pPr>
        <w:pStyle w:val="listTight"/>
        <w:numPr>
          <w:ilvl w:val="0"/>
          <w:numId w:val="10"/>
        </w:numPr>
      </w:pPr>
      <w:r>
        <w:rPr/>
        <w:t xml:space="preserve">Транспортное и экскурсионное обслуживание по программе с англоговорящим гидом </w:t>
      </w:r>
    </w:p>
    <w:p>
      <w:pPr>
        <w:pStyle w:val="Heading3"/>
      </w:pPr>
      <w:bookmarkStart w:id="4" w:name="_Toc4"/>
      <w:r>
        <w:t>Оплачивается дополнительно:</w:t>
      </w:r>
      <w:bookmarkEnd w:id="4"/>
    </w:p>
    <w:p>
      <w:pPr>
        <w:pStyle w:val="listTight"/>
        <w:numPr>
          <w:ilvl w:val="0"/>
          <w:numId w:val="10"/>
        </w:numPr>
      </w:pPr>
      <w:r>
        <w:rPr/>
        <w:t xml:space="preserve">Чаевые и расходы личного характера</w:t>
      </w:r>
    </w:p>
    <w:p>
      <w:pPr>
        <w:pStyle w:val="listTight"/>
        <w:numPr>
          <w:ilvl w:val="0"/>
          <w:numId w:val="10"/>
        </w:numPr>
      </w:pPr>
      <w:r>
        <w:rPr/>
        <w:t xml:space="preserve">Международный перелет </w:t>
      </w:r>
    </w:p>
    <w:p>
      <w:pPr>
        <w:pStyle w:val="listTight"/>
        <w:numPr>
          <w:ilvl w:val="0"/>
          <w:numId w:val="10"/>
        </w:numPr>
      </w:pPr>
      <w:r>
        <w:rPr/>
        <w:t xml:space="preserve">Визовый сбор</w:t>
      </w:r>
    </w:p>
    <w:p>
      <w:pPr>
        <w:pStyle w:val="listTight"/>
        <w:numPr>
          <w:ilvl w:val="0"/>
          <w:numId w:val="10"/>
        </w:numPr>
      </w:pPr>
      <w:r>
        <w:rPr/>
        <w:t xml:space="preserve">Медицинская страховка    </w:t>
      </w:r>
    </w:p>
    <w:p/>
    <w:p>
      <w:pPr>
        <w:pStyle w:val="pStyle"/>
      </w:pPr>
      <w:r>
        <w:rPr/>
        <w:t xml:space="preserve">Телефон для заказа: +7(925) 514-83-53</w:t>
      </w:r>
    </w:p>
    <w:p>
      <w:pPr>
        <w:pStyle w:val="pStyle"/>
      </w:pPr>
      <w:r>
        <w:rPr/>
        <w:t xml:space="preserve">E-mail: info@wildtrek.ru</w:t>
      </w:r>
    </w:p>
    <w:sectPr>
      <w:pgSz w:orient="portrait" w:w="11905.511811023621703498065471649169921875" w:h="16837.7952755905498634092509746551513671875"/>
      <w:pgMar w:top="1133.858267716535237923380918800830841064453125" w:right="1133.858267716535237923380918800830841064453125" w:bottom="1133.858267716535237923380918800830841064453125" w:left="1133.85826771653523792338091880083084106445312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0">
    <w:nsid w:val="DB18BA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0">
    <w:abstractNumId w:val="10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Arial" w:cs="Times New Roman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360"/>
    </w:pPr>
    <w:rPr>
      <w:sz w:val="44"/>
      <w:szCs w:val="44"/>
      <w:b w:val="1"/>
      <w:bCs w:val="1"/>
    </w:rPr>
  </w:style>
  <w:style w:type="paragraph" w:styleId="Heading2">
    <w:link w:val="Heading2Char"/>
    <w:name w:val="heading 2"/>
    <w:basedOn w:val="Normal"/>
    <w:pPr>
      <w:spacing w:before="400" w:after="280"/>
    </w:pPr>
    <w:rPr>
      <w:sz w:val="32"/>
      <w:szCs w:val="32"/>
      <w:b w:val="1"/>
      <w:bCs w:val="1"/>
    </w:rPr>
  </w:style>
  <w:style w:type="paragraph" w:styleId="Heading3">
    <w:link w:val="Heading3Char"/>
    <w:name w:val="heading 3"/>
    <w:basedOn w:val="Normal"/>
    <w:pPr>
      <w:spacing w:before="320" w:after="200"/>
    </w:pPr>
    <w:rPr>
      <w:sz w:val="28"/>
      <w:szCs w:val="28"/>
      <w:b w:val="1"/>
      <w:bCs w:val="1"/>
    </w:rPr>
  </w:style>
  <w:style w:type="paragraph" w:customStyle="1" w:styleId="pStyle">
    <w:name w:val="pStyle"/>
    <w:basedOn w:val="Normal"/>
    <w:pPr>
      <w:spacing w:after="0" w:line="240" w:lineRule="auto"/>
    </w:pPr>
  </w:style>
  <w:style w:type="paragraph" w:customStyle="1" w:styleId="pCenter">
    <w:name w:val="pCenter"/>
    <w:basedOn w:val="Normal"/>
    <w:pPr>
      <w:jc w:val="center"/>
      <w:spacing w:line="240" w:lineRule="auto"/>
    </w:pPr>
  </w:style>
  <w:style w:type="paragraph" w:customStyle="1" w:styleId="pRight">
    <w:name w:val="pRight"/>
    <w:basedOn w:val="Normal"/>
    <w:pPr>
      <w:jc w:val="end"/>
      <w:spacing w:line="240" w:lineRule="auto"/>
    </w:pPr>
  </w:style>
  <w:style w:type="table" w:customStyle="1" w:styleId="PriceTable">
    <w:name w:val="PriceTable"/>
    <w:uiPriority w:val="99"/>
    <w:tblPr>
      <w:tblW w:w="0" w:type="auto"/>
      <w:tblLayout w:type="autofit"/>
      <w:tblCellMar>
        <w:top w:w="100" w:type="dxa"/>
        <w:left w:w="100" w:type="dxa"/>
        <w:right w:w="100" w:type="dxa"/>
        <w:bottom w:w="100" w:type="dxa"/>
      </w:tblCellMar>
      <w:tblBorders>
        <w:top w:val="single" w:sz="6" w:color="999999"/>
        <w:left w:val="single" w:sz="6" w:color="999999"/>
        <w:right w:val="single" w:sz="6" w:color="999999"/>
        <w:bottom w:val="single" w:sz="6" w:color="999999"/>
        <w:insideH w:val="single" w:sz="6" w:color="999999"/>
        <w:insideV w:val="single" w:sz="6" w:color="999999"/>
      </w:tblBorders>
    </w:tblPr>
  </w:style>
  <w:style w:type="paragraph" w:customStyle="1" w:styleId="pTight">
    <w:name w:val="pTight"/>
    <w:basedOn w:val="Normal"/>
    <w:pPr>
      <w:spacing w:before="0" w:after="0" w:line="240" w:lineRule="auto"/>
    </w:pPr>
  </w:style>
  <w:style w:type="paragraph" w:customStyle="1" w:styleId="listTight">
    <w:name w:val="listTight"/>
    <w:basedOn w:val="Normal"/>
    <w:pPr>
      <w:ind w:left="283.46456692913380948084522970020771026611328125" w:right="0" w:firstLine="0" w:hanging="0"/>
      <w:spacing w:before="0"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image" Target="media/section_image2.jpg"/><Relationship Id="rId9" Type="http://schemas.openxmlformats.org/officeDocument/2006/relationships/image" Target="media/section_image3.jpg"/><Relationship Id="rId10" Type="http://schemas.openxmlformats.org/officeDocument/2006/relationships/image" Target="media/section_image4.jpg"/><Relationship Id="rId11" Type="http://schemas.openxmlformats.org/officeDocument/2006/relationships/image" Target="media/section_image5.jpg"/><Relationship Id="rId12" Type="http://schemas.openxmlformats.org/officeDocument/2006/relationships/image" Target="media/section_image6.jpg"/><Relationship Id="rId13" Type="http://schemas.openxmlformats.org/officeDocument/2006/relationships/image" Target="media/section_image7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2026-11-08T21:42:37+03:00</dcterms:created>
  <dcterms:modified xsi:type="dcterms:W3CDTF">2026-11-08T21:42:37+03:00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